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A1A1A"/>
          <w:sz w:val="44"/>
          <w:szCs w:val="44"/>
        </w:rPr>
        <w:t xml:space="preserve">AFRIBIZ INVEST</w:t>
      </w:r>
    </w:p>
    <w:p>
      <w:pPr>
        <w:spacing w:after="20"/>
        <w:jc w:val="center"/>
      </w:pPr>
      <w:r>
        <w:rPr>
          <w:color w:val="B8860B"/>
          <w:sz w:val="30"/>
          <w:szCs w:val="30"/>
        </w:rPr>
        <w:t xml:space="preserve">Project Portfolio</w:t>
      </w:r>
    </w:p>
    <w:p>
      <w:pPr>
        <w:pBdr>
          <w:bottom w:val="single" w:color="B8860B" w:sz="12" w:space="8"/>
        </w:pBdr>
        <w:spacing w:after="240"/>
        <w:jc w:val="center"/>
      </w:pPr>
      <w:r>
        <w:rPr>
          <w:i/>
          <w:iCs/>
          <w:color w:val="555555"/>
          <w:sz w:val="18"/>
          <w:szCs w:val="18"/>
        </w:rPr>
        <w:t xml:space="preserve">Ordinary People, Extraordinary Results</w:t>
      </w:r>
    </w:p>
    <w:p>
      <w:pPr>
        <w:pStyle w:val="Heading1"/>
        <w:pBdr>
          <w:bottom w:val="single" w:color="B8860B" w:sz="8" w:space="6"/>
        </w:pBdr>
        <w:spacing w:after="140" w:before="320"/>
      </w:pPr>
      <w:r>
        <w:rPr>
          <w:b/>
          <w:bCs/>
          <w:color w:val="1A1A1A"/>
          <w:sz w:val="30"/>
          <w:szCs w:val="30"/>
        </w:rPr>
        <w:t xml:space="preserve">Construction</w:t>
      </w:r>
    </w:p>
    <w:p>
      <w:pPr>
        <w:spacing w:after="40" w:before="200"/>
      </w:pPr>
      <w:r>
        <w:rPr>
          <w:b/>
          <w:bCs/>
          <w:color w:val="1A1A1A"/>
          <w:sz w:val="24"/>
          <w:szCs w:val="24"/>
        </w:rPr>
        <w:t xml:space="preserve">1.  Rama City</w:t>
      </w:r>
    </w:p>
    <w:p>
      <w:pPr>
        <w:spacing w:after="20"/>
      </w:pPr>
      <w:r>
        <w:rPr>
          <w:b/>
          <w:bCs/>
          <w:color w:val="B8860B"/>
          <w:sz w:val="20"/>
          <w:szCs w:val="20"/>
        </w:rPr>
        <w:t xml:space="preserve">Location:  </w:t>
      </w:r>
      <w:r>
        <w:rPr>
          <w:color w:val="555555"/>
          <w:sz w:val="20"/>
          <w:szCs w:val="20"/>
        </w:rPr>
        <w:t xml:space="preserve">North-west Tshwane</w:t>
      </w:r>
    </w:p>
    <w:p>
      <w:pPr>
        <w:spacing w:after="60"/>
      </w:pPr>
      <w:r>
        <w:rPr>
          <w:color w:val="333333"/>
          <w:sz w:val="20"/>
          <w:szCs w:val="20"/>
        </w:rPr>
        <w:t xml:space="preserve">Mixed-use residential development spanning 11 approved townships, delivering approximately 1,700 integrated residential units for beneficiaries of the Land Restoration Claim. Developed in support of the government's Breaking New Ground (BNG) strategy.</w:t>
      </w:r>
    </w:p>
    <w:p>
      <w:pPr>
        <w:spacing w:after="40" w:before="200"/>
      </w:pPr>
      <w:r>
        <w:rPr>
          <w:b/>
          <w:bCs/>
          <w:color w:val="1A1A1A"/>
          <w:sz w:val="24"/>
          <w:szCs w:val="24"/>
        </w:rPr>
        <w:t xml:space="preserve">2.  John Dube Development</w:t>
      </w:r>
    </w:p>
    <w:p>
      <w:pPr>
        <w:spacing w:after="20"/>
      </w:pPr>
      <w:r>
        <w:rPr>
          <w:b/>
          <w:bCs/>
          <w:color w:val="B8860B"/>
          <w:sz w:val="20"/>
          <w:szCs w:val="20"/>
        </w:rPr>
        <w:t xml:space="preserve">Location:  </w:t>
      </w:r>
      <w:r>
        <w:rPr>
          <w:color w:val="555555"/>
          <w:sz w:val="20"/>
          <w:szCs w:val="20"/>
        </w:rPr>
        <w:t xml:space="preserve">Greater Kwatsaduza area</w:t>
      </w:r>
    </w:p>
    <w:p>
      <w:pPr>
        <w:spacing w:after="20"/>
      </w:pPr>
      <w:r>
        <w:rPr>
          <w:b/>
          <w:bCs/>
          <w:color w:val="B8860B"/>
          <w:sz w:val="20"/>
          <w:szCs w:val="20"/>
        </w:rPr>
        <w:t xml:space="preserve">Contract value:  </w:t>
      </w:r>
      <w:r>
        <w:rPr>
          <w:color w:val="555555"/>
          <w:sz w:val="20"/>
          <w:szCs w:val="20"/>
        </w:rPr>
        <w:t xml:space="preserve">≈ R316 million</w:t>
      </w:r>
    </w:p>
    <w:p>
      <w:pPr>
        <w:spacing w:after="60"/>
      </w:pPr>
      <w:r>
        <w:rPr>
          <w:color w:val="333333"/>
          <w:sz w:val="20"/>
          <w:szCs w:val="20"/>
        </w:rPr>
        <w:t xml:space="preserve">A large public-private development — a mixed-use "New City" combining residential, commercial, industrial and institutional facilities, alongside job creation.</w:t>
      </w:r>
    </w:p>
    <w:p>
      <w:pPr>
        <w:spacing w:after="40" w:before="200"/>
      </w:pPr>
      <w:r>
        <w:rPr>
          <w:b/>
          <w:bCs/>
          <w:color w:val="1A1A1A"/>
          <w:sz w:val="24"/>
          <w:szCs w:val="24"/>
        </w:rPr>
        <w:t xml:space="preserve">3.  Protea Glen Extension 23</w:t>
      </w:r>
    </w:p>
    <w:p>
      <w:pPr>
        <w:spacing w:after="20"/>
      </w:pPr>
      <w:r>
        <w:rPr>
          <w:b/>
          <w:bCs/>
          <w:color w:val="B8860B"/>
          <w:sz w:val="20"/>
          <w:szCs w:val="20"/>
        </w:rPr>
        <w:t xml:space="preserve">Location:  </w:t>
      </w:r>
      <w:r>
        <w:rPr>
          <w:color w:val="555555"/>
          <w:sz w:val="20"/>
          <w:szCs w:val="20"/>
        </w:rPr>
        <w:t xml:space="preserve">Rand West Municipal area</w:t>
      </w:r>
    </w:p>
    <w:p>
      <w:pPr>
        <w:spacing w:after="20"/>
      </w:pPr>
      <w:r>
        <w:rPr>
          <w:b/>
          <w:bCs/>
          <w:color w:val="B8860B"/>
          <w:sz w:val="20"/>
          <w:szCs w:val="20"/>
        </w:rPr>
        <w:t xml:space="preserve">Estimated value:  </w:t>
      </w:r>
      <w:r>
        <w:rPr>
          <w:color w:val="555555"/>
          <w:sz w:val="20"/>
          <w:szCs w:val="20"/>
        </w:rPr>
        <w:t xml:space="preserve">R870 million</w:t>
      </w:r>
    </w:p>
    <w:p>
      <w:pPr>
        <w:spacing w:after="60"/>
      </w:pPr>
      <w:r>
        <w:rPr>
          <w:color w:val="333333"/>
          <w:sz w:val="20"/>
          <w:szCs w:val="20"/>
        </w:rPr>
        <w:t xml:space="preserve">Mega human settlements development creating 450 residential walk-up units, together with schools, businesses and municipal stands for facilities such as police stations and churches.</w:t>
      </w:r>
    </w:p>
    <w:p>
      <w:pPr>
        <w:spacing w:after="40" w:before="200"/>
      </w:pPr>
      <w:r>
        <w:rPr>
          <w:b/>
          <w:bCs/>
          <w:color w:val="1A1A1A"/>
          <w:sz w:val="24"/>
          <w:szCs w:val="24"/>
        </w:rPr>
        <w:t xml:space="preserve">4.  Jeppestown Social Housing Development</w:t>
      </w:r>
    </w:p>
    <w:p>
      <w:pPr>
        <w:spacing w:after="20"/>
      </w:pPr>
      <w:r>
        <w:rPr>
          <w:b/>
          <w:bCs/>
          <w:color w:val="B8860B"/>
          <w:sz w:val="20"/>
          <w:szCs w:val="20"/>
        </w:rPr>
        <w:t xml:space="preserve">Location:  </w:t>
      </w:r>
      <w:r>
        <w:rPr>
          <w:color w:val="555555"/>
          <w:sz w:val="20"/>
          <w:szCs w:val="20"/>
        </w:rPr>
        <w:t xml:space="preserve">Long Street Precinct, Jeppestown (near Ellis Park)</w:t>
      </w:r>
    </w:p>
    <w:p>
      <w:pPr>
        <w:spacing w:after="20"/>
      </w:pPr>
      <w:r>
        <w:rPr>
          <w:b/>
          <w:bCs/>
          <w:color w:val="B8860B"/>
          <w:sz w:val="20"/>
          <w:szCs w:val="20"/>
        </w:rPr>
        <w:t xml:space="preserve">Turnkey value:  </w:t>
      </w:r>
      <w:r>
        <w:rPr>
          <w:color w:val="555555"/>
          <w:sz w:val="20"/>
          <w:szCs w:val="20"/>
        </w:rPr>
        <w:t xml:space="preserve">R641 million</w:t>
      </w:r>
    </w:p>
    <w:p>
      <w:pPr>
        <w:spacing w:after="60"/>
      </w:pPr>
      <w:r>
        <w:rPr>
          <w:color w:val="333333"/>
          <w:sz w:val="20"/>
          <w:szCs w:val="20"/>
        </w:rPr>
        <w:t xml:space="preserve">Redevelopment of the Long Street Precinct into a revitalised, mixed-use social housing area in the inner city, transforming old warehouses and industrial space into residential properties.</w:t>
      </w:r>
    </w:p>
    <w:p>
      <w:pPr>
        <w:spacing w:after="40" w:before="200"/>
      </w:pPr>
      <w:r>
        <w:rPr>
          <w:b/>
          <w:bCs/>
          <w:color w:val="1A1A1A"/>
          <w:sz w:val="24"/>
          <w:szCs w:val="24"/>
        </w:rPr>
        <w:t xml:space="preserve">5.  Soshanguve Extensions 5 / 6 / 7 / 13</w:t>
      </w:r>
    </w:p>
    <w:p>
      <w:pPr>
        <w:spacing w:after="20"/>
      </w:pPr>
      <w:r>
        <w:rPr>
          <w:b/>
          <w:bCs/>
          <w:color w:val="B8860B"/>
          <w:sz w:val="20"/>
          <w:szCs w:val="20"/>
        </w:rPr>
        <w:t xml:space="preserve">Scope:  </w:t>
      </w:r>
      <w:r>
        <w:rPr>
          <w:color w:val="555555"/>
          <w:sz w:val="20"/>
          <w:szCs w:val="20"/>
        </w:rPr>
        <w:t xml:space="preserve">Roads and stormwater upgrades</w:t>
      </w:r>
    </w:p>
    <w:p>
      <w:pPr>
        <w:spacing w:after="60"/>
      </w:pPr>
      <w:r>
        <w:rPr>
          <w:color w:val="333333"/>
          <w:sz w:val="20"/>
          <w:szCs w:val="20"/>
        </w:rPr>
        <w:t xml:space="preserve">R56 million road and stormwater improvement project in Extensions 6 and 7, plus a R371 million initiative constructing 2.5 km of stormwater channels and 20 km of roads and stormwater systems in Thorntree View.</w:t>
      </w:r>
    </w:p>
    <w:p>
      <w:pPr>
        <w:spacing w:after="40" w:before="200"/>
      </w:pPr>
      <w:r>
        <w:rPr>
          <w:b/>
          <w:bCs/>
          <w:color w:val="1A1A1A"/>
          <w:sz w:val="24"/>
          <w:szCs w:val="24"/>
        </w:rPr>
        <w:t xml:space="preserve">6.  Chantelle X39 Social Housing Scheme</w:t>
      </w:r>
    </w:p>
    <w:p>
      <w:pPr>
        <w:spacing w:after="20"/>
      </w:pPr>
      <w:r>
        <w:rPr>
          <w:b/>
          <w:bCs/>
          <w:color w:val="B8860B"/>
          <w:sz w:val="20"/>
          <w:szCs w:val="20"/>
        </w:rPr>
        <w:t xml:space="preserve">Location:  </w:t>
      </w:r>
      <w:r>
        <w:rPr>
          <w:color w:val="555555"/>
          <w:sz w:val="20"/>
          <w:szCs w:val="20"/>
        </w:rPr>
        <w:t xml:space="preserve">The Orchards, Akasia</w:t>
      </w:r>
    </w:p>
    <w:p>
      <w:pPr>
        <w:spacing w:after="20"/>
      </w:pPr>
      <w:r>
        <w:rPr>
          <w:b/>
          <w:bCs/>
          <w:color w:val="B8860B"/>
          <w:sz w:val="20"/>
          <w:szCs w:val="20"/>
        </w:rPr>
        <w:t xml:space="preserve">Estimated value:  </w:t>
      </w:r>
      <w:r>
        <w:rPr>
          <w:color w:val="555555"/>
          <w:sz w:val="20"/>
          <w:szCs w:val="20"/>
        </w:rPr>
        <w:t xml:space="preserve">R271 million</w:t>
      </w:r>
    </w:p>
    <w:p>
      <w:pPr>
        <w:spacing w:after="60"/>
      </w:pPr>
      <w:r>
        <w:rPr>
          <w:color w:val="333333"/>
          <w:sz w:val="20"/>
          <w:szCs w:val="20"/>
        </w:rPr>
        <w:t xml:space="preserve">600 residential apartment units across three-storey walk-up buildings, covering 118,690 m². Delivered through a partnership between JBP Group and Afribiz Building.</w:t>
      </w:r>
    </w:p>
    <w:p>
      <w:pPr>
        <w:pStyle w:val="Heading1"/>
        <w:pBdr>
          <w:bottom w:val="single" w:color="B8860B" w:sz="8" w:space="6"/>
        </w:pBdr>
        <w:spacing w:after="140" w:before="320"/>
      </w:pPr>
      <w:r>
        <w:rPr>
          <w:b/>
          <w:bCs/>
          <w:color w:val="1A1A1A"/>
          <w:sz w:val="30"/>
          <w:szCs w:val="30"/>
        </w:rPr>
        <w:t xml:space="preserve">Consulting</w:t>
      </w:r>
    </w:p>
    <w:p>
      <w:pPr>
        <w:spacing w:after="40" w:before="200"/>
      </w:pPr>
      <w:r>
        <w:rPr>
          <w:b/>
          <w:bCs/>
          <w:color w:val="1A1A1A"/>
          <w:sz w:val="24"/>
          <w:szCs w:val="24"/>
        </w:rPr>
        <w:t xml:space="preserve">7.  Hillbrow Hospital</w:t>
      </w:r>
    </w:p>
    <w:p>
      <w:pPr>
        <w:spacing w:after="20"/>
      </w:pPr>
      <w:r>
        <w:rPr>
          <w:b/>
          <w:bCs/>
          <w:color w:val="B8860B"/>
          <w:sz w:val="20"/>
          <w:szCs w:val="20"/>
        </w:rPr>
        <w:t xml:space="preserve">Contract value:  </w:t>
      </w:r>
      <w:r>
        <w:rPr>
          <w:color w:val="555555"/>
          <w:sz w:val="20"/>
          <w:szCs w:val="20"/>
        </w:rPr>
        <w:t xml:space="preserve">R2 billion</w:t>
      </w:r>
    </w:p>
    <w:p>
      <w:pPr>
        <w:spacing w:after="60"/>
      </w:pPr>
      <w:r>
        <w:rPr>
          <w:color w:val="333333"/>
          <w:sz w:val="20"/>
          <w:szCs w:val="20"/>
        </w:rPr>
        <w:t xml:space="preserve">Redevelopment of the Mackenzie Block and two pavilion buildings into a state-of-the-art Level 1 district hospital with a minimum of 200 beds and essential support services.</w:t>
      </w:r>
    </w:p>
    <w:p>
      <w:pPr>
        <w:spacing w:after="40" w:before="200"/>
      </w:pPr>
      <w:r>
        <w:rPr>
          <w:b/>
          <w:bCs/>
          <w:color w:val="1A1A1A"/>
          <w:sz w:val="24"/>
          <w:szCs w:val="24"/>
        </w:rPr>
        <w:t xml:space="preserve">8.  West Rand Mega Park</w:t>
      </w:r>
    </w:p>
    <w:p>
      <w:pPr>
        <w:spacing w:after="20"/>
      </w:pPr>
      <w:r>
        <w:rPr>
          <w:b/>
          <w:bCs/>
          <w:color w:val="B8860B"/>
          <w:sz w:val="20"/>
          <w:szCs w:val="20"/>
        </w:rPr>
        <w:t xml:space="preserve">Partner:  </w:t>
      </w:r>
      <w:r>
        <w:rPr>
          <w:color w:val="555555"/>
          <w:sz w:val="20"/>
          <w:szCs w:val="20"/>
        </w:rPr>
        <w:t xml:space="preserve">The Maximum Group Holdings (Pty) Ltd</w:t>
      </w:r>
    </w:p>
    <w:p>
      <w:pPr>
        <w:spacing w:after="20"/>
      </w:pPr>
      <w:r>
        <w:rPr>
          <w:b/>
          <w:bCs/>
          <w:color w:val="B8860B"/>
          <w:sz w:val="20"/>
          <w:szCs w:val="20"/>
        </w:rPr>
        <w:t xml:space="preserve">Investment:  </w:t>
      </w:r>
      <w:r>
        <w:rPr>
          <w:color w:val="555555"/>
          <w:sz w:val="20"/>
          <w:szCs w:val="20"/>
        </w:rPr>
        <w:t xml:space="preserve">≈ R10 billion</w:t>
      </w:r>
    </w:p>
    <w:p>
      <w:pPr>
        <w:spacing w:after="60"/>
      </w:pPr>
      <w:r>
        <w:rPr>
          <w:color w:val="333333"/>
          <w:sz w:val="20"/>
          <w:szCs w:val="20"/>
        </w:rPr>
        <w:t xml:space="preserve">A catalytic agri-processing and consumer hub featuring educational farms, incubator projects and farmer-support initiatives, aimed at boosting the regional economy and creating jobs.</w:t>
      </w:r>
    </w:p>
    <w:p>
      <w:pPr>
        <w:pStyle w:val="Heading1"/>
        <w:pBdr>
          <w:bottom w:val="single" w:color="B8860B" w:sz="8" w:space="6"/>
        </w:pBdr>
        <w:spacing w:after="140" w:before="320"/>
      </w:pPr>
      <w:r>
        <w:rPr>
          <w:b/>
          <w:bCs/>
          <w:color w:val="1A1A1A"/>
          <w:sz w:val="30"/>
          <w:szCs w:val="30"/>
        </w:rPr>
        <w:t xml:space="preserve">Telecoms / IT</w:t>
      </w:r>
    </w:p>
    <w:p>
      <w:pPr>
        <w:spacing w:after="40" w:before="200"/>
      </w:pPr>
      <w:r>
        <w:rPr>
          <w:b/>
          <w:bCs/>
          <w:color w:val="1A1A1A"/>
          <w:sz w:val="24"/>
          <w:szCs w:val="24"/>
        </w:rPr>
        <w:t xml:space="preserve">9.  Gauteng Broadband Network (GBN) Project</w:t>
      </w:r>
    </w:p>
    <w:p>
      <w:pPr>
        <w:spacing w:after="20"/>
      </w:pPr>
      <w:r>
        <w:rPr>
          <w:b/>
          <w:bCs/>
          <w:color w:val="B8860B"/>
          <w:sz w:val="20"/>
          <w:szCs w:val="20"/>
        </w:rPr>
        <w:t xml:space="preserve">Total project value:  </w:t>
      </w:r>
      <w:r>
        <w:rPr>
          <w:color w:val="555555"/>
          <w:sz w:val="20"/>
          <w:szCs w:val="20"/>
        </w:rPr>
        <w:t xml:space="preserve">R2.4 billion</w:t>
      </w:r>
    </w:p>
    <w:p>
      <w:pPr>
        <w:spacing w:after="20"/>
      </w:pPr>
      <w:r>
        <w:rPr>
          <w:b/>
          <w:bCs/>
          <w:color w:val="B8860B"/>
          <w:sz w:val="20"/>
          <w:szCs w:val="20"/>
        </w:rPr>
        <w:t xml:space="preserve">Afribiz contract value:  </w:t>
      </w:r>
      <w:r>
        <w:rPr>
          <w:color w:val="555555"/>
          <w:sz w:val="20"/>
          <w:szCs w:val="20"/>
        </w:rPr>
        <w:t xml:space="preserve">R30 million</w:t>
      </w:r>
    </w:p>
    <w:p>
      <w:pPr>
        <w:spacing w:after="60"/>
      </w:pPr>
      <w:r>
        <w:rPr>
          <w:color w:val="333333"/>
          <w:sz w:val="20"/>
          <w:szCs w:val="20"/>
        </w:rPr>
        <w:t xml:space="preserve">Fibre and broadband infrastructure rollout across the province. Afribiz (via Telcolink) was appointed as a project house overseeing installation and supervising small, medium and micro enterprises (SMMEs).</w:t>
      </w:r>
    </w:p>
    <w:p>
      <w:pPr>
        <w:spacing w:after="40" w:before="200"/>
      </w:pPr>
      <w:r>
        <w:rPr>
          <w:b/>
          <w:bCs/>
          <w:color w:val="1A1A1A"/>
          <w:sz w:val="24"/>
          <w:szCs w:val="24"/>
        </w:rPr>
        <w:t xml:space="preserve">Additional Telecoms / IT engagements</w:t>
      </w:r>
    </w:p>
    <w:p>
      <w:pPr>
        <w:pStyle w:val="ListParagraph"/>
        <w:numPr>
          <w:ilvl w:val="0"/>
          <w:numId w:val="1"/>
        </w:numPr>
        <w:spacing w:after="20"/>
      </w:pPr>
      <w:r>
        <w:rPr>
          <w:color w:val="333333"/>
          <w:sz w:val="20"/>
          <w:szCs w:val="20"/>
        </w:rPr>
        <w:t xml:space="preserve">Nersa — Cloud Computing</w:t>
      </w:r>
    </w:p>
    <w:p>
      <w:pPr>
        <w:pStyle w:val="ListParagraph"/>
        <w:numPr>
          <w:ilvl w:val="0"/>
          <w:numId w:val="1"/>
        </w:numPr>
        <w:spacing w:after="20"/>
      </w:pPr>
      <w:r>
        <w:rPr>
          <w:color w:val="333333"/>
          <w:sz w:val="20"/>
          <w:szCs w:val="20"/>
        </w:rPr>
        <w:t xml:space="preserve">Xneelo — Fibre Installation</w:t>
      </w:r>
    </w:p>
    <w:p>
      <w:pPr>
        <w:pStyle w:val="ListParagraph"/>
        <w:numPr>
          <w:ilvl w:val="0"/>
          <w:numId w:val="1"/>
        </w:numPr>
        <w:spacing w:after="20"/>
      </w:pPr>
      <w:r>
        <w:rPr>
          <w:color w:val="333333"/>
          <w:sz w:val="20"/>
          <w:szCs w:val="20"/>
        </w:rPr>
        <w:t xml:space="preserve">Sita — WAN and LAN maintenance of SAPS</w:t>
      </w:r>
    </w:p>
    <w:p>
      <w:pPr>
        <w:pStyle w:val="Heading1"/>
        <w:pBdr>
          <w:bottom w:val="single" w:color="B8860B" w:sz="8" w:space="6"/>
        </w:pBdr>
        <w:spacing w:after="140" w:before="320"/>
      </w:pPr>
      <w:r>
        <w:rPr>
          <w:b/>
          <w:bCs/>
          <w:color w:val="1A1A1A"/>
          <w:sz w:val="30"/>
          <w:szCs w:val="30"/>
        </w:rPr>
        <w:t xml:space="preserve">Energy — Bulk Electrical Projects</w:t>
      </w:r>
    </w:p>
    <w:p>
      <w:pPr>
        <w:spacing w:after="60"/>
      </w:pPr>
      <w:r>
        <w:rPr>
          <w:color w:val="333333"/>
          <w:sz w:val="20"/>
          <w:szCs w:val="20"/>
        </w:rPr>
        <w:t xml:space="preserve">Expert electrical and bulk infrastructure services across multiple high-profile residential and commercial mega projects: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6600"/>
        <w:gridCol w:w="2400"/>
      </w:tblGrid>
      <w:tr>
        <w:trPr>
          <w:tblHeader/>
        </w:trPr>
        <w:tc>
          <w:tcPr>
            <w:tcW w:type="dxa" w:w="6600"/>
            <w:shd w:fill="B8860B" w:val="clear"/>
            <w:tcMar>
              <w:top w:type="dxa" w:w="60"/>
              <w:left w:type="dxa" w:w="120"/>
              <w:bottom w:type="dxa" w:w="60"/>
              <w:right w:type="dxa" w:w="120"/>
            </w:tcMar>
          </w:tcPr>
          <w:p>
            <w:r>
              <w:rPr>
                <w:b/>
                <w:bCs/>
                <w:color w:val="FFFFFF"/>
                <w:sz w:val="20"/>
                <w:szCs w:val="20"/>
              </w:rPr>
              <w:t xml:space="preserve">Project</w:t>
            </w:r>
          </w:p>
        </w:tc>
        <w:tc>
          <w:tcPr>
            <w:tcW w:type="dxa" w:w="2400"/>
            <w:shd w:fill="B8860B" w:val="clear"/>
            <w:tcMar>
              <w:top w:type="dxa" w:w="60"/>
              <w:left w:type="dxa" w:w="120"/>
              <w:bottom w:type="dxa" w:w="60"/>
              <w:right w:type="dxa" w:w="120"/>
            </w:tcMar>
          </w:tcPr>
          <w:p>
            <w:pPr>
              <w:jc w:val="right"/>
            </w:pPr>
            <w:r>
              <w:rPr>
                <w:b/>
                <w:bCs/>
                <w:color w:val="FFFFFF"/>
                <w:sz w:val="20"/>
                <w:szCs w:val="20"/>
              </w:rPr>
              <w:t xml:space="preserve">Value</w:t>
            </w:r>
          </w:p>
        </w:tc>
      </w:tr>
      <w:tr>
        <w:tc>
          <w:tcPr>
            <w:tcW w:type="dxa" w:w="6600"/>
            <w:shd w:fill="F5F0E6" w:val="clear"/>
            <w:tcMar>
              <w:top w:type="dxa" w:w="50"/>
              <w:left w:type="dxa" w:w="120"/>
              <w:bottom w:type="dxa" w:w="50"/>
              <w:right w:type="dxa" w:w="120"/>
            </w:tcMar>
          </w:tcPr>
          <w:p>
            <w:r>
              <w:rPr>
                <w:color w:val="333333"/>
                <w:sz w:val="20"/>
                <w:szCs w:val="20"/>
              </w:rPr>
              <w:t xml:space="preserve">John Dube Megacity Development</w:t>
            </w:r>
          </w:p>
        </w:tc>
        <w:tc>
          <w:tcPr>
            <w:tcW w:type="dxa" w:w="2400"/>
            <w:shd w:fill="F5F0E6" w:val="clear"/>
            <w:tcMar>
              <w:top w:type="dxa" w:w="50"/>
              <w:left w:type="dxa" w:w="120"/>
              <w:bottom w:type="dxa" w:w="50"/>
              <w:right w:type="dxa" w:w="120"/>
            </w:tcMar>
          </w:tcPr>
          <w:p>
            <w:pPr>
              <w:jc w:val="right"/>
            </w:pPr>
            <w:r>
              <w:rPr>
                <w:b/>
                <w:bCs/>
                <w:color w:val="1A1A1A"/>
                <w:sz w:val="20"/>
                <w:szCs w:val="20"/>
              </w:rPr>
              <w:t xml:space="preserve">R900 million</w:t>
            </w:r>
          </w:p>
        </w:tc>
      </w:tr>
      <w:tr>
        <w:tc>
          <w:tcPr>
            <w:tcW w:type="dxa" w:w="6600"/>
            <w:shd w:fill="FFFFFF" w:val="clear"/>
            <w:tcMar>
              <w:top w:type="dxa" w:w="50"/>
              <w:left w:type="dxa" w:w="120"/>
              <w:bottom w:type="dxa" w:w="50"/>
              <w:right w:type="dxa" w:w="120"/>
            </w:tcMar>
          </w:tcPr>
          <w:p>
            <w:r>
              <w:rPr>
                <w:color w:val="333333"/>
                <w:sz w:val="20"/>
                <w:szCs w:val="20"/>
              </w:rPr>
              <w:t xml:space="preserve">Dan Tlhome MegaCity Development</w:t>
            </w:r>
          </w:p>
        </w:tc>
        <w:tc>
          <w:tcPr>
            <w:tcW w:type="dxa" w:w="2400"/>
            <w:shd w:fill="FFFFFF" w:val="clear"/>
            <w:tcMar>
              <w:top w:type="dxa" w:w="50"/>
              <w:left w:type="dxa" w:w="120"/>
              <w:bottom w:type="dxa" w:w="50"/>
              <w:right w:type="dxa" w:w="120"/>
            </w:tcMar>
          </w:tcPr>
          <w:p>
            <w:pPr>
              <w:jc w:val="right"/>
            </w:pPr>
            <w:r>
              <w:rPr>
                <w:b/>
                <w:bCs/>
                <w:color w:val="1A1A1A"/>
                <w:sz w:val="20"/>
                <w:szCs w:val="20"/>
              </w:rPr>
              <w:t xml:space="preserve">R500 million</w:t>
            </w:r>
          </w:p>
        </w:tc>
      </w:tr>
      <w:tr>
        <w:tc>
          <w:tcPr>
            <w:tcW w:type="dxa" w:w="6600"/>
            <w:shd w:fill="F5F0E6" w:val="clear"/>
            <w:tcMar>
              <w:top w:type="dxa" w:w="50"/>
              <w:left w:type="dxa" w:w="120"/>
              <w:bottom w:type="dxa" w:w="50"/>
              <w:right w:type="dxa" w:w="120"/>
            </w:tcMar>
          </w:tcPr>
          <w:p>
            <w:r>
              <w:rPr>
                <w:color w:val="333333"/>
                <w:sz w:val="20"/>
                <w:szCs w:val="20"/>
              </w:rPr>
              <w:t xml:space="preserve">Daggarfontein MegaCity Development</w:t>
            </w:r>
          </w:p>
        </w:tc>
        <w:tc>
          <w:tcPr>
            <w:tcW w:type="dxa" w:w="2400"/>
            <w:shd w:fill="F5F0E6" w:val="clear"/>
            <w:tcMar>
              <w:top w:type="dxa" w:w="50"/>
              <w:left w:type="dxa" w:w="120"/>
              <w:bottom w:type="dxa" w:w="50"/>
              <w:right w:type="dxa" w:w="120"/>
            </w:tcMar>
          </w:tcPr>
          <w:p>
            <w:pPr>
              <w:jc w:val="right"/>
            </w:pPr>
            <w:r>
              <w:rPr>
                <w:b/>
                <w:bCs/>
                <w:color w:val="1A1A1A"/>
                <w:sz w:val="20"/>
                <w:szCs w:val="20"/>
              </w:rPr>
              <w:t xml:space="preserve">R120 million</w:t>
            </w:r>
          </w:p>
        </w:tc>
      </w:tr>
      <w:tr>
        <w:tc>
          <w:tcPr>
            <w:tcW w:type="dxa" w:w="6600"/>
            <w:shd w:fill="FFFFFF" w:val="clear"/>
            <w:tcMar>
              <w:top w:type="dxa" w:w="50"/>
              <w:left w:type="dxa" w:w="120"/>
              <w:bottom w:type="dxa" w:w="50"/>
              <w:right w:type="dxa" w:w="120"/>
            </w:tcMar>
          </w:tcPr>
          <w:p>
            <w:r>
              <w:rPr>
                <w:color w:val="333333"/>
                <w:sz w:val="20"/>
                <w:szCs w:val="20"/>
              </w:rPr>
              <w:t xml:space="preserve">Randwest Local Municipality — Bekkersdal Informal Settlement</w:t>
            </w:r>
          </w:p>
        </w:tc>
        <w:tc>
          <w:tcPr>
            <w:tcW w:type="dxa" w:w="2400"/>
            <w:shd w:fill="FFFFFF" w:val="clear"/>
            <w:tcMar>
              <w:top w:type="dxa" w:w="50"/>
              <w:left w:type="dxa" w:w="120"/>
              <w:bottom w:type="dxa" w:w="50"/>
              <w:right w:type="dxa" w:w="120"/>
            </w:tcMar>
          </w:tcPr>
          <w:p>
            <w:pPr>
              <w:jc w:val="right"/>
            </w:pPr>
            <w:r>
              <w:rPr>
                <w:b/>
                <w:bCs/>
                <w:color w:val="1A1A1A"/>
                <w:sz w:val="20"/>
                <w:szCs w:val="20"/>
              </w:rPr>
              <w:t xml:space="preserve">R80 million</w:t>
            </w:r>
          </w:p>
        </w:tc>
      </w:tr>
      <w:tr>
        <w:tc>
          <w:tcPr>
            <w:tcW w:type="dxa" w:w="6600"/>
            <w:shd w:fill="F5F0E6" w:val="clear"/>
            <w:tcMar>
              <w:top w:type="dxa" w:w="50"/>
              <w:left w:type="dxa" w:w="120"/>
              <w:bottom w:type="dxa" w:w="50"/>
              <w:right w:type="dxa" w:w="120"/>
            </w:tcMar>
          </w:tcPr>
          <w:p>
            <w:r>
              <w:rPr>
                <w:color w:val="333333"/>
                <w:sz w:val="20"/>
                <w:szCs w:val="20"/>
              </w:rPr>
              <w:t xml:space="preserve">Randwest Local Municipality — Zenzele Informal Settlement</w:t>
            </w:r>
          </w:p>
        </w:tc>
        <w:tc>
          <w:tcPr>
            <w:tcW w:type="dxa" w:w="2400"/>
            <w:shd w:fill="F5F0E6" w:val="clear"/>
            <w:tcMar>
              <w:top w:type="dxa" w:w="50"/>
              <w:left w:type="dxa" w:w="120"/>
              <w:bottom w:type="dxa" w:w="50"/>
              <w:right w:type="dxa" w:w="120"/>
            </w:tcMar>
          </w:tcPr>
          <w:p>
            <w:pPr>
              <w:jc w:val="right"/>
            </w:pPr>
            <w:r>
              <w:rPr>
                <w:b/>
                <w:bCs/>
                <w:color w:val="1A1A1A"/>
                <w:sz w:val="20"/>
                <w:szCs w:val="20"/>
              </w:rPr>
              <w:t xml:space="preserve">R140 million</w:t>
            </w:r>
          </w:p>
        </w:tc>
      </w:tr>
      <w:tr>
        <w:tc>
          <w:tcPr>
            <w:tcW w:type="dxa" w:w="6600"/>
            <w:shd w:fill="FFFFFF" w:val="clear"/>
            <w:tcMar>
              <w:top w:type="dxa" w:w="50"/>
              <w:left w:type="dxa" w:w="120"/>
              <w:bottom w:type="dxa" w:w="50"/>
              <w:right w:type="dxa" w:w="120"/>
            </w:tcMar>
          </w:tcPr>
          <w:p>
            <w:r>
              <w:rPr>
                <w:color w:val="333333"/>
                <w:sz w:val="20"/>
                <w:szCs w:val="20"/>
              </w:rPr>
              <w:t xml:space="preserve">Lethabong MegaCity Development</w:t>
            </w:r>
          </w:p>
        </w:tc>
        <w:tc>
          <w:tcPr>
            <w:tcW w:type="dxa" w:w="2400"/>
            <w:shd w:fill="FFFFFF" w:val="clear"/>
            <w:tcMar>
              <w:top w:type="dxa" w:w="50"/>
              <w:left w:type="dxa" w:w="120"/>
              <w:bottom w:type="dxa" w:w="50"/>
              <w:right w:type="dxa" w:w="120"/>
            </w:tcMar>
          </w:tcPr>
          <w:p>
            <w:pPr>
              <w:jc w:val="right"/>
            </w:pPr>
            <w:r>
              <w:rPr>
                <w:b/>
                <w:bCs/>
                <w:color w:val="1A1A1A"/>
                <w:sz w:val="20"/>
                <w:szCs w:val="20"/>
              </w:rPr>
              <w:t xml:space="preserve">R350 million</w:t>
            </w:r>
          </w:p>
        </w:tc>
      </w:tr>
      <w:tr>
        <w:tc>
          <w:tcPr>
            <w:tcW w:type="dxa" w:w="6600"/>
            <w:shd w:fill="F5F0E6" w:val="clear"/>
            <w:tcMar>
              <w:top w:type="dxa" w:w="50"/>
              <w:left w:type="dxa" w:w="120"/>
              <w:bottom w:type="dxa" w:w="50"/>
              <w:right w:type="dxa" w:w="120"/>
            </w:tcMar>
          </w:tcPr>
          <w:p>
            <w:r>
              <w:rPr>
                <w:color w:val="333333"/>
                <w:sz w:val="20"/>
                <w:szCs w:val="20"/>
              </w:rPr>
              <w:t xml:space="preserve">Steyn City</w:t>
            </w:r>
          </w:p>
        </w:tc>
        <w:tc>
          <w:tcPr>
            <w:tcW w:type="dxa" w:w="2400"/>
            <w:shd w:fill="F5F0E6" w:val="clear"/>
            <w:tcMar>
              <w:top w:type="dxa" w:w="50"/>
              <w:left w:type="dxa" w:w="120"/>
              <w:bottom w:type="dxa" w:w="50"/>
              <w:right w:type="dxa" w:w="120"/>
            </w:tcMar>
          </w:tcPr>
          <w:p>
            <w:pPr>
              <w:jc w:val="right"/>
            </w:pPr>
            <w:r>
              <w:rPr>
                <w:b/>
                <w:bCs/>
                <w:color w:val="1A1A1A"/>
                <w:sz w:val="20"/>
                <w:szCs w:val="20"/>
              </w:rPr>
              <w:t xml:space="preserve">R200 million</w:t>
            </w:r>
          </w:p>
        </w:tc>
      </w:tr>
      <w:tr>
        <w:tc>
          <w:tcPr>
            <w:tcW w:type="dxa" w:w="6600"/>
            <w:shd w:fill="FFFFFF" w:val="clear"/>
            <w:tcMar>
              <w:top w:type="dxa" w:w="50"/>
              <w:left w:type="dxa" w:w="120"/>
              <w:bottom w:type="dxa" w:w="50"/>
              <w:right w:type="dxa" w:w="120"/>
            </w:tcMar>
          </w:tcPr>
          <w:p>
            <w:r>
              <w:rPr>
                <w:color w:val="333333"/>
                <w:sz w:val="20"/>
                <w:szCs w:val="20"/>
              </w:rPr>
              <w:t xml:space="preserve">Eye of Africa</w:t>
            </w:r>
          </w:p>
        </w:tc>
        <w:tc>
          <w:tcPr>
            <w:tcW w:type="dxa" w:w="2400"/>
            <w:shd w:fill="FFFFFF" w:val="clear"/>
            <w:tcMar>
              <w:top w:type="dxa" w:w="50"/>
              <w:left w:type="dxa" w:w="120"/>
              <w:bottom w:type="dxa" w:w="50"/>
              <w:right w:type="dxa" w:w="120"/>
            </w:tcMar>
          </w:tcPr>
          <w:p>
            <w:pPr>
              <w:jc w:val="right"/>
            </w:pPr>
            <w:r>
              <w:rPr>
                <w:b/>
                <w:bCs/>
                <w:color w:val="1A1A1A"/>
                <w:sz w:val="20"/>
                <w:szCs w:val="20"/>
              </w:rPr>
              <w:t xml:space="preserve">R350 million</w:t>
            </w:r>
          </w:p>
        </w:tc>
      </w:tr>
      <w:tr>
        <w:tc>
          <w:tcPr>
            <w:tcW w:type="dxa" w:w="6600"/>
            <w:shd w:fill="F5F0E6" w:val="clear"/>
            <w:tcMar>
              <w:top w:type="dxa" w:w="50"/>
              <w:left w:type="dxa" w:w="120"/>
              <w:bottom w:type="dxa" w:w="50"/>
              <w:right w:type="dxa" w:w="120"/>
            </w:tcMar>
          </w:tcPr>
          <w:p>
            <w:r>
              <w:rPr>
                <w:color w:val="333333"/>
                <w:sz w:val="20"/>
                <w:szCs w:val="20"/>
              </w:rPr>
              <w:t xml:space="preserve">Riverside Mega Development</w:t>
            </w:r>
          </w:p>
        </w:tc>
        <w:tc>
          <w:tcPr>
            <w:tcW w:type="dxa" w:w="2400"/>
            <w:shd w:fill="F5F0E6" w:val="clear"/>
            <w:tcMar>
              <w:top w:type="dxa" w:w="50"/>
              <w:left w:type="dxa" w:w="120"/>
              <w:bottom w:type="dxa" w:w="50"/>
              <w:right w:type="dxa" w:w="120"/>
            </w:tcMar>
          </w:tcPr>
          <w:p>
            <w:pPr>
              <w:jc w:val="right"/>
            </w:pPr>
            <w:r>
              <w:rPr>
                <w:b/>
                <w:bCs/>
                <w:color w:val="1A1A1A"/>
                <w:sz w:val="20"/>
                <w:szCs w:val="20"/>
              </w:rPr>
              <w:t xml:space="preserve">R800 million</w:t>
            </w:r>
          </w:p>
        </w:tc>
      </w:tr>
    </w:tbl>
    <w:p>
      <w:pPr>
        <w:pStyle w:val="Heading1"/>
        <w:pBdr>
          <w:bottom w:val="single" w:color="B8860B" w:sz="8" w:space="6"/>
        </w:pBdr>
        <w:spacing w:after="140" w:before="320"/>
      </w:pPr>
      <w:r>
        <w:rPr>
          <w:b/>
          <w:bCs/>
          <w:color w:val="1A1A1A"/>
          <w:sz w:val="30"/>
          <w:szCs w:val="30"/>
        </w:rPr>
        <w:t xml:space="preserve">Land Release Programme</w:t>
      </w:r>
    </w:p>
    <w:p>
      <w:pPr>
        <w:spacing w:after="40" w:before="200"/>
      </w:pPr>
      <w:r>
        <w:rPr>
          <w:b/>
          <w:bCs/>
          <w:color w:val="1A1A1A"/>
          <w:sz w:val="24"/>
          <w:szCs w:val="24"/>
        </w:rPr>
        <w:t xml:space="preserve">10.  Dunnottar Precinct</w:t>
      </w:r>
    </w:p>
    <w:p>
      <w:pPr>
        <w:spacing w:after="20"/>
      </w:pPr>
      <w:r>
        <w:rPr>
          <w:b/>
          <w:bCs/>
          <w:color w:val="B8860B"/>
          <w:sz w:val="20"/>
          <w:szCs w:val="20"/>
        </w:rPr>
        <w:t xml:space="preserve">Location:  </w:t>
      </w:r>
      <w:r>
        <w:rPr>
          <w:color w:val="555555"/>
          <w:sz w:val="20"/>
          <w:szCs w:val="20"/>
        </w:rPr>
        <w:t xml:space="preserve">Eastern Gauteng</w:t>
      </w:r>
    </w:p>
    <w:p>
      <w:pPr>
        <w:spacing w:after="20"/>
      </w:pPr>
      <w:r>
        <w:rPr>
          <w:b/>
          <w:bCs/>
          <w:color w:val="B8860B"/>
          <w:sz w:val="20"/>
          <w:szCs w:val="20"/>
        </w:rPr>
        <w:t xml:space="preserve">Contract value:  </w:t>
      </w:r>
      <w:r>
        <w:rPr>
          <w:color w:val="555555"/>
          <w:sz w:val="20"/>
          <w:szCs w:val="20"/>
        </w:rPr>
        <w:t xml:space="preserve">R97 million</w:t>
      </w:r>
    </w:p>
    <w:p>
      <w:pPr>
        <w:spacing w:after="60"/>
      </w:pPr>
      <w:r>
        <w:rPr>
          <w:color w:val="333333"/>
          <w:sz w:val="20"/>
          <w:szCs w:val="20"/>
        </w:rPr>
        <w:t xml:space="preserve">Afribiz was appointed to lead the development of the Dunnottar Precinct, unlocking underutilised land for community and economic benefit. Scope of work:</w:t>
      </w:r>
    </w:p>
    <w:p>
      <w:pPr>
        <w:pStyle w:val="ListParagraph"/>
        <w:numPr>
          <w:ilvl w:val="0"/>
          <w:numId w:val="1"/>
        </w:numPr>
        <w:spacing w:after="20"/>
      </w:pPr>
      <w:r>
        <w:rPr>
          <w:color w:val="333333"/>
          <w:sz w:val="20"/>
          <w:szCs w:val="20"/>
        </w:rPr>
        <w:t xml:space="preserve">Feasibility study</w:t>
      </w:r>
    </w:p>
    <w:p>
      <w:pPr>
        <w:pStyle w:val="ListParagraph"/>
        <w:numPr>
          <w:ilvl w:val="0"/>
          <w:numId w:val="1"/>
        </w:numPr>
        <w:spacing w:after="20"/>
      </w:pPr>
      <w:r>
        <w:rPr>
          <w:color w:val="333333"/>
          <w:sz w:val="20"/>
          <w:szCs w:val="20"/>
        </w:rPr>
        <w:t xml:space="preserve">Specialist / environmental studies (Environmental Scoping Report)</w:t>
      </w:r>
    </w:p>
    <w:p>
      <w:pPr>
        <w:pStyle w:val="ListParagraph"/>
        <w:numPr>
          <w:ilvl w:val="0"/>
          <w:numId w:val="1"/>
        </w:numPr>
        <w:spacing w:after="20"/>
      </w:pPr>
      <w:r>
        <w:rPr>
          <w:color w:val="333333"/>
          <w:sz w:val="20"/>
          <w:szCs w:val="20"/>
        </w:rPr>
        <w:t xml:space="preserve">Draft urban design</w:t>
      </w:r>
    </w:p>
    <w:p>
      <w:pPr>
        <w:pStyle w:val="ListParagraph"/>
        <w:numPr>
          <w:ilvl w:val="0"/>
          <w:numId w:val="1"/>
        </w:numPr>
        <w:spacing w:after="20"/>
      </w:pPr>
      <w:r>
        <w:rPr>
          <w:color w:val="333333"/>
          <w:sz w:val="20"/>
          <w:szCs w:val="20"/>
        </w:rPr>
        <w:t xml:space="preserve">Geotechnical engineering</w:t>
      </w:r>
    </w:p>
    <w:p>
      <w:pPr>
        <w:pStyle w:val="ListParagraph"/>
        <w:numPr>
          <w:ilvl w:val="0"/>
          <w:numId w:val="1"/>
        </w:numPr>
        <w:spacing w:after="20"/>
      </w:pPr>
      <w:r>
        <w:rPr>
          <w:color w:val="333333"/>
          <w:sz w:val="20"/>
          <w:szCs w:val="20"/>
        </w:rPr>
        <w:t xml:space="preserve">Civil engineering designs</w:t>
      </w:r>
    </w:p>
    <w:p>
      <w:pPr>
        <w:pStyle w:val="ListParagraph"/>
        <w:numPr>
          <w:ilvl w:val="0"/>
          <w:numId w:val="1"/>
        </w:numPr>
        <w:spacing w:after="20"/>
      </w:pPr>
      <w:r>
        <w:rPr>
          <w:color w:val="333333"/>
          <w:sz w:val="20"/>
          <w:szCs w:val="20"/>
        </w:rPr>
        <w:t xml:space="preserve">Electrical engineering designs</w:t>
      </w:r>
    </w:p>
    <w:p>
      <w:pPr>
        <w:pStyle w:val="ListParagraph"/>
        <w:numPr>
          <w:ilvl w:val="0"/>
          <w:numId w:val="1"/>
        </w:numPr>
        <w:spacing w:after="20"/>
      </w:pPr>
      <w:r>
        <w:rPr>
          <w:color w:val="333333"/>
          <w:sz w:val="20"/>
          <w:szCs w:val="20"/>
        </w:rPr>
        <w:t xml:space="preserve">Traffic impact assessment</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2026-07-30T07:08:20.854Z</dcterms:created>
  <dcterms:modified xsi:type="dcterms:W3CDTF">2026-07-30T07:08:20.877Z</dcterms:modified>
</cp:coreProperties>
</file>

<file path=docProps/custom.xml><?xml version="1.0" encoding="utf-8"?>
<Properties xmlns="http://schemas.openxmlformats.org/officeDocument/2006/custom-properties" xmlns:vt="http://schemas.openxmlformats.org/officeDocument/2006/docPropsVTypes"/>
</file>